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17A91" w14:textId="20052F11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77C963BE" w14:textId="022C0BB0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Comment vérifier l'adresse e-mail et le mode de paiement d'un fournisseur</w:t>
      </w:r>
    </w:p>
    <w:p w14:paraId="0404673D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Cliquez sur la tuile Fournisseurs</w:t>
      </w:r>
    </w:p>
    <w:p w14:paraId="37F94256" w14:textId="7974856C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noProof/>
          <w:sz w:val="24"/>
          <w:szCs w:val="24"/>
        </w:rPr>
        <w:drawing>
          <wp:inline distT="0" distB="0" distL="0" distR="0" wp14:anchorId="048AB719" wp14:editId="24A8C404">
            <wp:extent cx="5731510" cy="2159000"/>
            <wp:effectExtent l="0" t="0" r="2540" b="0"/>
            <wp:docPr id="1861940449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5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noProof/>
          <w:vanish/>
          <w:sz w:val="24"/>
          <w:szCs w:val="24"/>
        </w:rPr>
        <w:drawing>
          <wp:inline distT="0" distB="0" distL="0" distR="0" wp14:anchorId="589EFA85" wp14:editId="25B3E06C">
            <wp:extent cx="144780" cy="144780"/>
            <wp:effectExtent l="0" t="0" r="0" b="0"/>
            <wp:docPr id="118386159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7072B967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7C3F8E4A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Sur le côté droit de l'écran, cliquez sur la </w:t>
      </w:r>
      <w:proofErr w:type="gramStart"/>
      <w:r w:rsidRPr="00902E68">
        <w:rPr>
          <w:rFonts w:ascii="Calibri" w:eastAsia="Times New Roman" w:hAnsi="Calibri" w:cs="Calibri"/>
          <w:b/>
          <w:bCs/>
          <w:sz w:val="24"/>
          <w:szCs w:val="24"/>
        </w:rPr>
        <w:t>loupe :</w:t>
      </w:r>
      <w:proofErr w:type="gramEnd"/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 saisissez le nom ou le numéro du fournisseur dans le champ de recherche. </w:t>
      </w:r>
    </w:p>
    <w:p w14:paraId="2D42A00D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Cliquez sur le nom du fournisseur pour commencer la recherche. </w:t>
      </w:r>
    </w:p>
    <w:p w14:paraId="7002CD3D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3688980B" w14:textId="1CBEDF10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noProof/>
          <w:sz w:val="24"/>
          <w:szCs w:val="24"/>
        </w:rPr>
        <w:drawing>
          <wp:inline distT="0" distB="0" distL="0" distR="0" wp14:anchorId="65FDA23F" wp14:editId="5E9F34F1">
            <wp:extent cx="2811780" cy="2407920"/>
            <wp:effectExtent l="0" t="0" r="7620" b="0"/>
            <wp:docPr id="57980488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noProof/>
          <w:vanish/>
          <w:sz w:val="24"/>
          <w:szCs w:val="24"/>
        </w:rPr>
        <w:drawing>
          <wp:inline distT="0" distB="0" distL="0" distR="0" wp14:anchorId="4E46343C" wp14:editId="4B8EB91C">
            <wp:extent cx="144780" cy="144780"/>
            <wp:effectExtent l="0" t="0" r="0" b="0"/>
            <wp:docPr id="3926669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313DB3A4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272165A8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Cliquez en bleu sur le nom du fournisseur</w:t>
      </w:r>
    </w:p>
    <w:p w14:paraId="4745B805" w14:textId="139A2958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noProof/>
          <w:sz w:val="24"/>
          <w:szCs w:val="24"/>
        </w:rPr>
        <w:drawing>
          <wp:inline distT="0" distB="0" distL="0" distR="0" wp14:anchorId="764ECA78" wp14:editId="47D05A73">
            <wp:extent cx="5731510" cy="591820"/>
            <wp:effectExtent l="0" t="0" r="2540" b="0"/>
            <wp:docPr id="57469559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9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noProof/>
          <w:vanish/>
          <w:sz w:val="24"/>
          <w:szCs w:val="24"/>
        </w:rPr>
        <w:drawing>
          <wp:inline distT="0" distB="0" distL="0" distR="0" wp14:anchorId="47BA5448" wp14:editId="04C309EA">
            <wp:extent cx="144780" cy="144780"/>
            <wp:effectExtent l="0" t="0" r="0" b="0"/>
            <wp:docPr id="11069511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58B1776C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Dans la vue fournisseur, sur des onglets en haut et au milieu, chaque onglet contiendra des informations supplémentaires sur le fournisseur.</w:t>
      </w:r>
    </w:p>
    <w:p w14:paraId="2B3F61BF" w14:textId="52FA33BA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noProof/>
          <w:sz w:val="24"/>
          <w:szCs w:val="24"/>
        </w:rPr>
        <w:lastRenderedPageBreak/>
        <w:drawing>
          <wp:inline distT="0" distB="0" distL="0" distR="0" wp14:anchorId="52401D34" wp14:editId="20BE83BB">
            <wp:extent cx="5731510" cy="2129790"/>
            <wp:effectExtent l="0" t="0" r="2540" b="3810"/>
            <wp:docPr id="95272652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2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noProof/>
          <w:vanish/>
          <w:sz w:val="24"/>
          <w:szCs w:val="24"/>
        </w:rPr>
        <w:drawing>
          <wp:inline distT="0" distB="0" distL="0" distR="0" wp14:anchorId="00AD45F0" wp14:editId="4D35A47D">
            <wp:extent cx="144780" cy="144780"/>
            <wp:effectExtent l="0" t="0" r="0" b="0"/>
            <wp:docPr id="1172709850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3995AB5D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3DDBD37F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Sélectionnez l'onglet Sites (c'est là que sont stockés tous les détails de paiement), cliquez sur le nom du site que vous souhaitez consulter</w:t>
      </w:r>
    </w:p>
    <w:p w14:paraId="354D7845" w14:textId="090FB549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O</w:t>
      </w:r>
      <w:r w:rsidRPr="00902E68">
        <w:rPr>
          <w:rFonts w:ascii="Calibri" w:eastAsia="Times New Roman" w:hAnsi="Calibri" w:cs="Calibri"/>
          <w:b/>
          <w:bCs/>
          <w:noProof/>
          <w:sz w:val="24"/>
          <w:szCs w:val="24"/>
        </w:rPr>
        <w:drawing>
          <wp:inline distT="0" distB="0" distL="0" distR="0" wp14:anchorId="1260A6D6" wp14:editId="15BCDA4F">
            <wp:extent cx="5135880" cy="2918460"/>
            <wp:effectExtent l="0" t="0" r="7620" b="0"/>
            <wp:docPr id="42391706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88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noProof/>
          <w:vanish/>
          <w:sz w:val="24"/>
          <w:szCs w:val="24"/>
        </w:rPr>
        <w:drawing>
          <wp:inline distT="0" distB="0" distL="0" distR="0" wp14:anchorId="20ED1E63" wp14:editId="2A898E35">
            <wp:extent cx="144780" cy="144780"/>
            <wp:effectExtent l="0" t="0" r="0" b="0"/>
            <wp:docPr id="1172293286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BAD54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73056D8B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Il y a plusieurs onglets dans la section </w:t>
      </w:r>
      <w:proofErr w:type="gramStart"/>
      <w:r w:rsidRPr="00902E68">
        <w:rPr>
          <w:rFonts w:ascii="Calibri" w:eastAsia="Times New Roman" w:hAnsi="Calibri" w:cs="Calibri"/>
          <w:b/>
          <w:bCs/>
          <w:sz w:val="24"/>
          <w:szCs w:val="24"/>
        </w:rPr>
        <w:t>intermédiaire ;</w:t>
      </w:r>
      <w:proofErr w:type="gramEnd"/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 pour voir la durée et le type de paie, ce détail est </w:t>
      </w:r>
      <w:proofErr w:type="spellStart"/>
      <w:r w:rsidRPr="00902E68">
        <w:rPr>
          <w:rFonts w:ascii="Calibri" w:eastAsia="Times New Roman" w:hAnsi="Calibri" w:cs="Calibri"/>
          <w:b/>
          <w:bCs/>
          <w:sz w:val="24"/>
          <w:szCs w:val="24"/>
        </w:rPr>
        <w:t>sauvegardé</w:t>
      </w:r>
      <w:proofErr w:type="spellEnd"/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 </w:t>
      </w:r>
      <w:proofErr w:type="spellStart"/>
      <w:r w:rsidRPr="00902E68">
        <w:rPr>
          <w:rFonts w:ascii="Calibri" w:eastAsia="Times New Roman" w:hAnsi="Calibri" w:cs="Calibri"/>
          <w:b/>
          <w:bCs/>
          <w:sz w:val="24"/>
          <w:szCs w:val="24"/>
        </w:rPr>
        <w:t>Facturation</w:t>
      </w:r>
      <w:proofErr w:type="spellEnd"/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 et Paiements.</w:t>
      </w:r>
    </w:p>
    <w:p w14:paraId="32485B6B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Pour voir le mode de paiement, cliquez sur Paiements -&gt; méthode de paiement. </w:t>
      </w:r>
      <w:r w:rsidRPr="00902E68">
        <w:rPr>
          <w:rFonts w:ascii="Calibri" w:eastAsia="Times New Roman" w:hAnsi="Calibri" w:cs="Calibri"/>
          <w:b/>
          <w:bCs/>
          <w:i/>
          <w:iCs/>
          <w:sz w:val="24"/>
          <w:szCs w:val="24"/>
        </w:rPr>
        <w:t>Ci-dessous afficher l'électronique est le mode de paiement.</w:t>
      </w:r>
    </w:p>
    <w:p w14:paraId="1CE7DD55" w14:textId="6CF868F4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noProof/>
          <w:sz w:val="24"/>
          <w:szCs w:val="24"/>
        </w:rPr>
        <w:lastRenderedPageBreak/>
        <w:drawing>
          <wp:inline distT="0" distB="0" distL="0" distR="0" wp14:anchorId="43B3753F" wp14:editId="79D94F27">
            <wp:extent cx="5731510" cy="2835910"/>
            <wp:effectExtent l="0" t="0" r="2540" b="2540"/>
            <wp:docPr id="723700449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3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noProof/>
          <w:vanish/>
          <w:sz w:val="24"/>
          <w:szCs w:val="24"/>
        </w:rPr>
        <w:drawing>
          <wp:inline distT="0" distB="0" distL="0" distR="0" wp14:anchorId="56A5D9B3" wp14:editId="5E9F950D">
            <wp:extent cx="144780" cy="144780"/>
            <wp:effectExtent l="0" t="0" r="0" b="0"/>
            <wp:docPr id="165830308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0622C7F8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Pour consulter le compte bancaire, sélectionnez Comptes bancaires</w:t>
      </w:r>
    </w:p>
    <w:p w14:paraId="7F5E3082" w14:textId="25B914D9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noProof/>
          <w:sz w:val="24"/>
          <w:szCs w:val="24"/>
        </w:rPr>
        <w:drawing>
          <wp:inline distT="0" distB="0" distL="0" distR="0" wp14:anchorId="339D8816" wp14:editId="6D1FD91E">
            <wp:extent cx="5731510" cy="2831465"/>
            <wp:effectExtent l="0" t="0" r="2540" b="6985"/>
            <wp:docPr id="115994005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3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noProof/>
          <w:vanish/>
          <w:sz w:val="24"/>
          <w:szCs w:val="24"/>
        </w:rPr>
        <w:drawing>
          <wp:inline distT="0" distB="0" distL="0" distR="0" wp14:anchorId="3D7A8896" wp14:editId="5848DA8E">
            <wp:extent cx="144780" cy="144780"/>
            <wp:effectExtent l="0" t="0" r="0" b="0"/>
            <wp:docPr id="178511334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5B77ED00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22CC09EB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Pour voir l'adresse email de remise de fonds, cliquez sur Paiements -&gt; Attributs de paiement -&gt; Livraison séparée des conseils de transfert de fonds</w:t>
      </w:r>
    </w:p>
    <w:p w14:paraId="08A54BF3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485F5902" w14:textId="46BCB40A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noProof/>
          <w:sz w:val="24"/>
          <w:szCs w:val="24"/>
        </w:rPr>
        <w:lastRenderedPageBreak/>
        <w:drawing>
          <wp:inline distT="0" distB="0" distL="0" distR="0" wp14:anchorId="20D6BF1B" wp14:editId="5277531F">
            <wp:extent cx="5731510" cy="1631950"/>
            <wp:effectExtent l="0" t="0" r="2540" b="6350"/>
            <wp:docPr id="75306476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noProof/>
          <w:vanish/>
          <w:sz w:val="24"/>
          <w:szCs w:val="24"/>
        </w:rPr>
        <w:drawing>
          <wp:inline distT="0" distB="0" distL="0" distR="0" wp14:anchorId="696E35C3" wp14:editId="2B1876FF">
            <wp:extent cx="144780" cy="144780"/>
            <wp:effectExtent l="0" t="0" r="0" b="0"/>
            <wp:docPr id="122280880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p w14:paraId="0CE67041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 </w:t>
      </w:r>
    </w:p>
    <w:p w14:paraId="7F6D2EDF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>Si les détails de la facture sont incorrects et nécessitent un changement, soumettez une demande de modification à l'équipe de configuration du fournisseur (VSU).</w:t>
      </w:r>
    </w:p>
    <w:p w14:paraId="1AAC293C" w14:textId="77777777" w:rsidR="00902E68" w:rsidRPr="00902E68" w:rsidRDefault="00902E68" w:rsidP="00902E68">
      <w:pPr>
        <w:rPr>
          <w:rFonts w:ascii="Calibri" w:eastAsia="Times New Roman" w:hAnsi="Calibri" w:cs="Calibri"/>
          <w:b/>
          <w:bCs/>
          <w:sz w:val="24"/>
          <w:szCs w:val="24"/>
        </w:rPr>
      </w:pPr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Obtenez le modèle de changement de fournisseur disponible sur le site SharePoint : </w:t>
      </w:r>
      <w:hyperlink r:id="rId16" w:tgtFrame="_self" w:history="1">
        <w:r w:rsidRPr="00902E68">
          <w:rPr>
            <w:rStyle w:val="Hyperlink"/>
            <w:rFonts w:ascii="Calibri" w:eastAsia="Times New Roman" w:hAnsi="Calibri" w:cs="Calibri"/>
            <w:b/>
            <w:bCs/>
            <w:sz w:val="24"/>
            <w:szCs w:val="24"/>
          </w:rPr>
          <w:t>VSU Hub</w:t>
        </w:r>
      </w:hyperlink>
      <w:r w:rsidRPr="00902E68">
        <w:rPr>
          <w:rFonts w:ascii="Calibri" w:eastAsia="Times New Roman" w:hAnsi="Calibri" w:cs="Calibri"/>
          <w:b/>
          <w:bCs/>
          <w:sz w:val="24"/>
          <w:szCs w:val="24"/>
        </w:rPr>
        <w:t xml:space="preserve"> , dans la section documents régionaux. Une fois le modèle terminé par le fournisseur, soumettez une demande de configuration auprès du fournisseur.</w:t>
      </w:r>
    </w:p>
    <w:p w14:paraId="3F0AA1D0" w14:textId="07C4B29F" w:rsidR="00EF13A2" w:rsidRPr="00902E68" w:rsidRDefault="00902E68" w:rsidP="00902E68">
      <w:r w:rsidRPr="00902E68">
        <w:rPr>
          <w:rFonts w:ascii="Calibri" w:eastAsia="Times New Roman" w:hAnsi="Calibri" w:cs="Calibri"/>
          <w:b/>
          <w:bCs/>
          <w:sz w:val="24"/>
          <w:szCs w:val="24"/>
        </w:rPr>
        <w:t>​</w:t>
      </w:r>
    </w:p>
    <w:sectPr w:rsidR="00EF13A2" w:rsidRPr="00902E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310"/>
    <w:rsid w:val="00013AD8"/>
    <w:rsid w:val="001432EC"/>
    <w:rsid w:val="00326F9F"/>
    <w:rsid w:val="003619F0"/>
    <w:rsid w:val="003C2487"/>
    <w:rsid w:val="00483B6B"/>
    <w:rsid w:val="00497B77"/>
    <w:rsid w:val="004A2154"/>
    <w:rsid w:val="005B360C"/>
    <w:rsid w:val="005D7092"/>
    <w:rsid w:val="00616641"/>
    <w:rsid w:val="00657308"/>
    <w:rsid w:val="006664CA"/>
    <w:rsid w:val="008464E4"/>
    <w:rsid w:val="00902E68"/>
    <w:rsid w:val="00907D69"/>
    <w:rsid w:val="00917F5E"/>
    <w:rsid w:val="009B7A44"/>
    <w:rsid w:val="00A721CC"/>
    <w:rsid w:val="00AC6310"/>
    <w:rsid w:val="00AC6DC7"/>
    <w:rsid w:val="00AD08CC"/>
    <w:rsid w:val="00BC19AF"/>
    <w:rsid w:val="00C052CE"/>
    <w:rsid w:val="00C6173F"/>
    <w:rsid w:val="00D514A4"/>
    <w:rsid w:val="00ED1F88"/>
    <w:rsid w:val="00EF13A2"/>
    <w:rsid w:val="00F6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24528"/>
  <w15:chartTrackingRefBased/>
  <w15:docId w15:val="{89B620D8-E5E8-4900-8346-277E6D22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248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C1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keimageresizer">
    <w:name w:val="cke_image_resizer"/>
    <w:basedOn w:val="DefaultParagraphFont"/>
    <w:rsid w:val="00BC19AF"/>
  </w:style>
  <w:style w:type="character" w:styleId="UnresolvedMention">
    <w:name w:val="Unresolved Mention"/>
    <w:basedOn w:val="DefaultParagraphFont"/>
    <w:uiPriority w:val="99"/>
    <w:semiHidden/>
    <w:unhideWhenUsed/>
    <w:rsid w:val="00013AD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A215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hertz.sharepoint.com/sites/GlobalProcurement/SitePages/Vendor-Set-Up.asp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9F75E588ECE24C8C613CADC11410D0" ma:contentTypeVersion="17" ma:contentTypeDescription="Create a new document." ma:contentTypeScope="" ma:versionID="7561a385206283626574863c95ad57d0">
  <xsd:schema xmlns:xsd="http://www.w3.org/2001/XMLSchema" xmlns:xs="http://www.w3.org/2001/XMLSchema" xmlns:p="http://schemas.microsoft.com/office/2006/metadata/properties" xmlns:ns3="64e9a3d2-7ac5-4810-8f98-01c2fa2957e6" xmlns:ns4="ff52010a-243c-43b4-ac70-92ab69798a3e" targetNamespace="http://schemas.microsoft.com/office/2006/metadata/properties" ma:root="true" ma:fieldsID="61f3400f74622369ebbc0e48db4d3dc1" ns3:_="" ns4:_="">
    <xsd:import namespace="64e9a3d2-7ac5-4810-8f98-01c2fa2957e6"/>
    <xsd:import namespace="ff52010a-243c-43b4-ac70-92ab69798a3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9a3d2-7ac5-4810-8f98-01c2fa2957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52010a-243c-43b4-ac70-92ab69798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52010a-243c-43b4-ac70-92ab69798a3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672137-35F4-4D6A-B845-619440A0F3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9a3d2-7ac5-4810-8f98-01c2fa2957e6"/>
    <ds:schemaRef ds:uri="ff52010a-243c-43b4-ac70-92ab69798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BDDB14-247B-4BCE-887A-C2AF5C9E79B5}">
  <ds:schemaRefs>
    <ds:schemaRef ds:uri="http://schemas.microsoft.com/office/2006/metadata/properties"/>
    <ds:schemaRef ds:uri="http://schemas.microsoft.com/office/infopath/2007/PartnerControls"/>
    <ds:schemaRef ds:uri="ff52010a-243c-43b4-ac70-92ab69798a3e"/>
  </ds:schemaRefs>
</ds:datastoreItem>
</file>

<file path=customXml/itemProps3.xml><?xml version="1.0" encoding="utf-8"?>
<ds:datastoreItem xmlns:ds="http://schemas.openxmlformats.org/officeDocument/2006/customXml" ds:itemID="{917D4FDB-35BC-48DF-AF13-F712E17172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251</Words>
  <Characters>1434</Characters>
  <Application>Microsoft Office Word</Application>
  <DocSecurity>0</DocSecurity>
  <Lines>11</Lines>
  <Paragraphs>3</Paragraphs>
  <ScaleCrop>false</ScaleCrop>
  <Company>Hertz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Morton, Aidan</dc:creator>
  <cp:keywords/>
  <dc:description/>
  <cp:lastModifiedBy>Horvath Kulifai, Andrea  (NH)</cp:lastModifiedBy>
  <cp:revision>1</cp:revision>
  <dcterms:created xsi:type="dcterms:W3CDTF">2023-04-03T15:18:00Z</dcterms:created>
  <dcterms:modified xsi:type="dcterms:W3CDTF">2026-09-23T12:36:00Z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0x010100E69F75E588ECE24C8C613CADC11410D0</vt:lpwstr>
  </property>
</Properties>
</file>